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D3" w:rsidRDefault="00E24FD3" w:rsidP="00022C52">
      <w:bookmarkStart w:id="0" w:name="_GoBack"/>
      <w:bookmarkEnd w:id="0"/>
    </w:p>
    <w:p w:rsidR="00C172BE" w:rsidRDefault="00C172BE" w:rsidP="002146FC"/>
    <w:p w:rsidR="0029581B" w:rsidRDefault="0029581B" w:rsidP="002146FC"/>
    <w:p w:rsidR="00905604" w:rsidRDefault="007A221F" w:rsidP="004D722D">
      <w:pPr>
        <w:pStyle w:val="Heading1"/>
        <w:jc w:val="center"/>
        <w:rPr>
          <w:rFonts w:ascii="Calibri" w:eastAsia="Times New Roman" w:hAnsi="Calibri" w:cs="Times New Roman"/>
          <w:b/>
          <w:bCs/>
          <w:szCs w:val="20"/>
        </w:rPr>
      </w:pPr>
      <w:r>
        <w:rPr>
          <w:rFonts w:ascii="Calibri" w:eastAsia="Times New Roman" w:hAnsi="Calibri" w:cs="Times New Roman"/>
          <w:b/>
          <w:bCs/>
          <w:szCs w:val="20"/>
        </w:rPr>
        <w:t>DSG 2024-25 – Funding Updates</w:t>
      </w:r>
    </w:p>
    <w:tbl>
      <w:tblPr>
        <w:tblW w:w="978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port header"/>
        <w:tblDescription w:val="Report header showing the report title and author"/>
      </w:tblPr>
      <w:tblGrid>
        <w:gridCol w:w="3138"/>
        <w:gridCol w:w="6643"/>
      </w:tblGrid>
      <w:tr w:rsidR="007A221F" w:rsidRPr="007A221F" w:rsidTr="00E83828">
        <w:trPr>
          <w:cantSplit/>
          <w:tblHeader/>
        </w:trPr>
        <w:tc>
          <w:tcPr>
            <w:tcW w:w="3138" w:type="dxa"/>
          </w:tcPr>
          <w:p w:rsidR="007A221F" w:rsidRPr="007A221F" w:rsidRDefault="007A221F" w:rsidP="007A221F">
            <w:pPr>
              <w:keepNext/>
              <w:spacing w:after="0" w:line="240" w:lineRule="auto"/>
              <w:outlineLvl w:val="3"/>
              <w:rPr>
                <w:rFonts w:eastAsia="Times New Roman" w:cs="Arial"/>
                <w:snapToGrid w:val="0"/>
                <w:kern w:val="0"/>
                <w14:ligatures w14:val="none"/>
              </w:rPr>
            </w:pPr>
            <w:r w:rsidRPr="007A221F">
              <w:rPr>
                <w:rFonts w:eastAsia="Times New Roman" w:cs="Arial"/>
                <w:kern w:val="0"/>
                <w14:ligatures w14:val="none"/>
              </w:rPr>
              <w:t xml:space="preserve">Date: 14 March 2024       </w:t>
            </w:r>
          </w:p>
          <w:p w:rsidR="007A221F" w:rsidRPr="007A221F" w:rsidRDefault="007A221F" w:rsidP="007A221F">
            <w:pPr>
              <w:spacing w:after="0" w:line="240" w:lineRule="auto"/>
              <w:ind w:left="300"/>
              <w:rPr>
                <w:rFonts w:eastAsia="Times New Roman" w:cs="Arial"/>
                <w:kern w:val="0"/>
                <w:highlight w:val="yellow"/>
                <w14:ligatures w14:val="none"/>
              </w:rPr>
            </w:pPr>
          </w:p>
        </w:tc>
        <w:tc>
          <w:tcPr>
            <w:tcW w:w="6643" w:type="dxa"/>
          </w:tcPr>
          <w:p w:rsidR="007A221F" w:rsidRPr="007A221F" w:rsidRDefault="007A221F" w:rsidP="007A221F">
            <w:pPr>
              <w:keepNext/>
              <w:spacing w:after="0" w:line="240" w:lineRule="auto"/>
              <w:outlineLvl w:val="3"/>
              <w:rPr>
                <w:rFonts w:eastAsia="Times New Roman" w:cs="Arial"/>
                <w:kern w:val="0"/>
                <w:highlight w:val="yellow"/>
                <w14:ligatures w14:val="none"/>
              </w:rPr>
            </w:pPr>
            <w:r w:rsidRPr="007A221F">
              <w:rPr>
                <w:rFonts w:eastAsia="Times New Roman" w:cs="Arial"/>
                <w:kern w:val="0"/>
                <w14:ligatures w14:val="none"/>
              </w:rPr>
              <w:t xml:space="preserve"> Item 6                 Type of report: Noting </w:t>
            </w:r>
          </w:p>
        </w:tc>
      </w:tr>
      <w:tr w:rsidR="007A221F" w:rsidRPr="007A221F" w:rsidTr="00E83828">
        <w:trPr>
          <w:cantSplit/>
        </w:trPr>
        <w:tc>
          <w:tcPr>
            <w:tcW w:w="3138" w:type="dxa"/>
          </w:tcPr>
          <w:p w:rsidR="007A221F" w:rsidRPr="007A221F" w:rsidRDefault="007A221F" w:rsidP="007A221F">
            <w:pPr>
              <w:widowControl w:val="0"/>
              <w:spacing w:after="0" w:line="240" w:lineRule="auto"/>
              <w:rPr>
                <w:rFonts w:eastAsia="Times New Roman" w:cs="Arial"/>
                <w:snapToGrid w:val="0"/>
                <w:kern w:val="0"/>
                <w14:ligatures w14:val="none"/>
              </w:rPr>
            </w:pPr>
            <w:r w:rsidRPr="007A221F">
              <w:rPr>
                <w:rFonts w:eastAsia="Times New Roman" w:cs="Arial"/>
                <w:snapToGrid w:val="0"/>
                <w:kern w:val="0"/>
                <w14:ligatures w14:val="none"/>
              </w:rPr>
              <w:t>Report title:</w:t>
            </w:r>
          </w:p>
          <w:p w:rsidR="007A221F" w:rsidRPr="007A221F" w:rsidRDefault="007A221F" w:rsidP="007A221F">
            <w:pPr>
              <w:widowControl w:val="0"/>
              <w:spacing w:after="0" w:line="240" w:lineRule="auto"/>
              <w:rPr>
                <w:rFonts w:eastAsia="Times New Roman" w:cs="Arial"/>
                <w:snapToGrid w:val="0"/>
                <w:kern w:val="0"/>
                <w14:ligatures w14:val="none"/>
              </w:rPr>
            </w:pPr>
          </w:p>
        </w:tc>
        <w:tc>
          <w:tcPr>
            <w:tcW w:w="6643" w:type="dxa"/>
          </w:tcPr>
          <w:p w:rsidR="007A221F" w:rsidRPr="007A221F" w:rsidRDefault="007A221F" w:rsidP="007A221F">
            <w:pPr>
              <w:tabs>
                <w:tab w:val="left" w:pos="360"/>
              </w:tabs>
              <w:spacing w:after="120" w:line="240" w:lineRule="auto"/>
              <w:ind w:left="360" w:hanging="360"/>
              <w:rPr>
                <w:rFonts w:eastAsia="Times New Roman" w:cs="Arial"/>
                <w:iCs/>
                <w:kern w:val="0"/>
                <w:lang w:val="en-US"/>
                <w14:ligatures w14:val="none"/>
              </w:rPr>
            </w:pPr>
            <w:r w:rsidRPr="007A221F">
              <w:rPr>
                <w:rFonts w:eastAsia="Times New Roman" w:cs="Arial"/>
                <w:iCs/>
                <w:kern w:val="0"/>
                <w:lang w:val="en-US"/>
                <w14:ligatures w14:val="none"/>
              </w:rPr>
              <w:t xml:space="preserve"> DSG 2024-25 – Funding Updates</w:t>
            </w:r>
          </w:p>
        </w:tc>
      </w:tr>
      <w:tr w:rsidR="007A221F" w:rsidRPr="007A221F" w:rsidTr="00E83828">
        <w:trPr>
          <w:cantSplit/>
        </w:trPr>
        <w:tc>
          <w:tcPr>
            <w:tcW w:w="3138" w:type="dxa"/>
          </w:tcPr>
          <w:p w:rsidR="007A221F" w:rsidRPr="007A221F" w:rsidRDefault="007A221F" w:rsidP="007A221F">
            <w:pPr>
              <w:widowControl w:val="0"/>
              <w:spacing w:after="0" w:line="240" w:lineRule="auto"/>
              <w:rPr>
                <w:rFonts w:eastAsia="Times New Roman" w:cs="Arial"/>
                <w:snapToGrid w:val="0"/>
                <w:kern w:val="0"/>
                <w14:ligatures w14:val="none"/>
              </w:rPr>
            </w:pPr>
            <w:r w:rsidRPr="007A221F">
              <w:rPr>
                <w:rFonts w:eastAsia="Times New Roman" w:cs="Arial"/>
                <w:snapToGrid w:val="0"/>
                <w:kern w:val="0"/>
                <w14:ligatures w14:val="none"/>
              </w:rPr>
              <w:t xml:space="preserve">Author name </w:t>
            </w:r>
            <w:r w:rsidRPr="007A221F">
              <w:rPr>
                <w:rFonts w:eastAsia="Times New Roman" w:cs="Arial"/>
                <w:snapToGrid w:val="0"/>
                <w:kern w:val="0"/>
                <w14:ligatures w14:val="none"/>
              </w:rPr>
              <w:br/>
              <w:t>and contact details:</w:t>
            </w:r>
          </w:p>
        </w:tc>
        <w:tc>
          <w:tcPr>
            <w:tcW w:w="6643" w:type="dxa"/>
          </w:tcPr>
          <w:p w:rsidR="007A221F" w:rsidRPr="007A221F" w:rsidRDefault="007A221F" w:rsidP="007A221F">
            <w:pPr>
              <w:widowControl w:val="0"/>
              <w:spacing w:after="0" w:line="240" w:lineRule="auto"/>
              <w:rPr>
                <w:rFonts w:eastAsia="Times New Roman" w:cs="Arial"/>
                <w:snapToGrid w:val="0"/>
                <w:kern w:val="0"/>
                <w:lang w:val="it-IT"/>
                <w14:ligatures w14:val="none"/>
              </w:rPr>
            </w:pPr>
            <w:r w:rsidRPr="007A221F">
              <w:rPr>
                <w:rFonts w:eastAsia="Times New Roman" w:cs="Arial"/>
                <w:snapToGrid w:val="0"/>
                <w:kern w:val="0"/>
                <w:lang w:val="it-IT"/>
                <w14:ligatures w14:val="none"/>
              </w:rPr>
              <w:t xml:space="preserve"> Aron Brown</w:t>
            </w:r>
          </w:p>
          <w:p w:rsidR="007A221F" w:rsidRPr="007A221F" w:rsidRDefault="007A221F" w:rsidP="007A221F">
            <w:pPr>
              <w:widowControl w:val="0"/>
              <w:spacing w:after="0" w:line="240" w:lineRule="auto"/>
              <w:rPr>
                <w:rFonts w:eastAsia="Times New Roman" w:cs="Arial"/>
                <w:snapToGrid w:val="0"/>
                <w:kern w:val="0"/>
                <w:lang w:val="it-IT"/>
                <w14:ligatures w14:val="none"/>
              </w:rPr>
            </w:pPr>
            <w:r w:rsidRPr="007A221F">
              <w:rPr>
                <w:rFonts w:eastAsia="Times New Roman" w:cs="Arial"/>
                <w:kern w:val="0"/>
                <w14:ligatures w14:val="none"/>
              </w:rPr>
              <w:t xml:space="preserve"> </w:t>
            </w:r>
            <w:hyperlink r:id="rId8" w:history="1">
              <w:r w:rsidRPr="007A221F">
                <w:rPr>
                  <w:rFonts w:eastAsia="Times New Roman" w:cs="Arial"/>
                  <w:snapToGrid w:val="0"/>
                  <w:color w:val="0000FF"/>
                  <w:kern w:val="0"/>
                  <w:u w:val="single"/>
                  <w:lang w:val="it-IT"/>
                  <w14:ligatures w14:val="none"/>
                </w:rPr>
                <w:t>aron.brown@southwark.gov.uk</w:t>
              </w:r>
            </w:hyperlink>
            <w:r w:rsidRPr="007A221F">
              <w:rPr>
                <w:rFonts w:eastAsia="Times New Roman" w:cs="Arial"/>
                <w:snapToGrid w:val="0"/>
                <w:kern w:val="0"/>
                <w:lang w:val="it-IT"/>
                <w14:ligatures w14:val="none"/>
              </w:rPr>
              <w:t xml:space="preserve"> </w:t>
            </w:r>
          </w:p>
        </w:tc>
      </w:tr>
      <w:tr w:rsidR="007A221F" w:rsidRPr="007A221F" w:rsidTr="00E83828">
        <w:trPr>
          <w:cantSplit/>
        </w:trPr>
        <w:tc>
          <w:tcPr>
            <w:tcW w:w="3138" w:type="dxa"/>
          </w:tcPr>
          <w:p w:rsidR="007A221F" w:rsidRPr="007A221F" w:rsidRDefault="007A221F" w:rsidP="007A221F">
            <w:pPr>
              <w:widowControl w:val="0"/>
              <w:spacing w:after="0" w:line="240" w:lineRule="auto"/>
              <w:rPr>
                <w:rFonts w:eastAsia="Times New Roman" w:cs="Arial"/>
                <w:snapToGrid w:val="0"/>
                <w:kern w:val="0"/>
                <w14:ligatures w14:val="none"/>
              </w:rPr>
            </w:pPr>
            <w:r w:rsidRPr="007A221F">
              <w:rPr>
                <w:rFonts w:eastAsia="Times New Roman" w:cs="Arial"/>
                <w:snapToGrid w:val="0"/>
                <w:kern w:val="0"/>
                <w14:ligatures w14:val="none"/>
              </w:rPr>
              <w:t>Officer to present the report:</w:t>
            </w:r>
          </w:p>
        </w:tc>
        <w:tc>
          <w:tcPr>
            <w:tcW w:w="6643" w:type="dxa"/>
          </w:tcPr>
          <w:p w:rsidR="007A221F" w:rsidRPr="007A221F" w:rsidRDefault="007A221F" w:rsidP="007A221F">
            <w:pPr>
              <w:widowControl w:val="0"/>
              <w:spacing w:after="0" w:line="240" w:lineRule="auto"/>
              <w:rPr>
                <w:rFonts w:eastAsia="Times New Roman" w:cs="Arial"/>
                <w:snapToGrid w:val="0"/>
                <w:kern w:val="0"/>
                <w:lang w:val="it-IT"/>
                <w14:ligatures w14:val="none"/>
              </w:rPr>
            </w:pPr>
            <w:r w:rsidRPr="007A221F">
              <w:rPr>
                <w:rFonts w:eastAsia="Times New Roman" w:cs="Arial"/>
                <w:snapToGrid w:val="0"/>
                <w:kern w:val="0"/>
                <w:lang w:val="it-IT"/>
                <w14:ligatures w14:val="none"/>
              </w:rPr>
              <w:t xml:space="preserve">Aron Brown, </w:t>
            </w:r>
          </w:p>
          <w:p w:rsidR="007A221F" w:rsidRPr="007A221F" w:rsidRDefault="007A221F" w:rsidP="007A221F">
            <w:pPr>
              <w:widowControl w:val="0"/>
              <w:spacing w:after="0" w:line="240" w:lineRule="auto"/>
              <w:rPr>
                <w:rFonts w:eastAsia="Times New Roman" w:cs="Arial"/>
                <w:snapToGrid w:val="0"/>
                <w:kern w:val="0"/>
                <w14:ligatures w14:val="none"/>
              </w:rPr>
            </w:pPr>
            <w:r w:rsidRPr="007A221F">
              <w:rPr>
                <w:rFonts w:eastAsia="Times New Roman" w:cs="Arial"/>
                <w:snapToGrid w:val="0"/>
                <w:kern w:val="0"/>
                <w:lang w:val="it-IT"/>
                <w14:ligatures w14:val="none"/>
              </w:rPr>
              <w:t>Senior Finance Manager, Education Finance</w:t>
            </w:r>
          </w:p>
        </w:tc>
      </w:tr>
    </w:tbl>
    <w:p w:rsidR="007A221F" w:rsidRDefault="007A221F" w:rsidP="007A221F"/>
    <w:p w:rsidR="007A221F" w:rsidRDefault="007A221F" w:rsidP="007A221F">
      <w:pPr>
        <w:pStyle w:val="Heading2"/>
      </w:pPr>
      <w:r>
        <w:t>Purpose of Report</w:t>
      </w:r>
    </w:p>
    <w:p w:rsidR="007A221F" w:rsidRDefault="007A221F" w:rsidP="007A221F">
      <w:pPr>
        <w:ind w:left="567"/>
        <w:jc w:val="both"/>
      </w:pPr>
      <w:r w:rsidRPr="007A221F">
        <w:t>This report sets out a number of adjustments to the 2024-25 DSG Funding levels following some DfE clarifications. It asks for Forum members to note the funding rates for early year’s providers and the changes to the Schools Blocks top-slice.</w:t>
      </w:r>
    </w:p>
    <w:p w:rsidR="007A221F" w:rsidRDefault="007A221F" w:rsidP="007A221F">
      <w:pPr>
        <w:pStyle w:val="Heading2"/>
      </w:pPr>
      <w:r>
        <w:t>Recommended Actions for School Forum</w:t>
      </w:r>
    </w:p>
    <w:p w:rsidR="007A221F" w:rsidRDefault="007A221F" w:rsidP="007A221F">
      <w:pPr>
        <w:ind w:firstLine="567"/>
      </w:pPr>
      <w:r>
        <w:t>The Schools Forum is asked to note:</w:t>
      </w:r>
    </w:p>
    <w:p w:rsidR="007A221F" w:rsidRDefault="007A221F" w:rsidP="007A221F">
      <w:pPr>
        <w:pStyle w:val="ListParagraph"/>
        <w:numPr>
          <w:ilvl w:val="0"/>
          <w:numId w:val="34"/>
        </w:numPr>
        <w:ind w:left="851" w:hanging="284"/>
      </w:pPr>
      <w:r>
        <w:t>The Funding Base Rates for Early Year providers in the “Final Rates” column in table 1.</w:t>
      </w:r>
    </w:p>
    <w:p w:rsidR="007A221F" w:rsidRDefault="007A221F" w:rsidP="007A221F">
      <w:pPr>
        <w:pStyle w:val="ListParagraph"/>
        <w:numPr>
          <w:ilvl w:val="0"/>
          <w:numId w:val="34"/>
        </w:numPr>
        <w:ind w:left="851" w:hanging="284"/>
      </w:pPr>
      <w:r>
        <w:t>The adjustments to the Falling Rolls and Growth Fund budgets for 2024-25 as set out in section 5.</w:t>
      </w:r>
    </w:p>
    <w:p w:rsidR="007A221F" w:rsidRDefault="007A221F" w:rsidP="007A221F">
      <w:pPr>
        <w:pStyle w:val="Heading2"/>
      </w:pPr>
      <w:r>
        <w:t>Background</w:t>
      </w:r>
    </w:p>
    <w:p w:rsidR="007A221F" w:rsidRDefault="007A221F" w:rsidP="007A221F">
      <w:pPr>
        <w:ind w:left="567"/>
        <w:jc w:val="both"/>
      </w:pPr>
      <w:r>
        <w:t>On 18th December the DfE released the DSG allocations for Local Authorities and this information was used to build the Schools Block and Early Years Block formulae to determine the funding arrangements for the 2024/25 financial year. The results of this work were presented to the January forum.</w:t>
      </w:r>
    </w:p>
    <w:p w:rsidR="007A221F" w:rsidRDefault="007A221F" w:rsidP="007A221F">
      <w:pPr>
        <w:ind w:left="567"/>
        <w:jc w:val="both"/>
      </w:pPr>
      <w:r>
        <w:lastRenderedPageBreak/>
        <w:t>Shortly after the January Forum the Schools Block budget was submitted to the DfE to be approved by the Secretary of State. An adjustment was required to include “spend” on NNDR for closed schools. The implications of this are discussed in section 5 of this report.</w:t>
      </w:r>
    </w:p>
    <w:p w:rsidR="007A221F" w:rsidRDefault="007A221F" w:rsidP="007A221F">
      <w:pPr>
        <w:ind w:left="567"/>
        <w:jc w:val="both"/>
      </w:pPr>
      <w:r>
        <w:t>Shortly before the January Forum, the DfE announced a change to the funding arrangements for the Early Years block which meant that additional funding would be available for the new</w:t>
      </w:r>
      <w:r w:rsidR="00841632">
        <w:t xml:space="preserve"> provision starting in 2024/25.  </w:t>
      </w:r>
      <w:r>
        <w:t>The implications of the changes are set out in section 4 of this report.</w:t>
      </w:r>
    </w:p>
    <w:p w:rsidR="007A221F" w:rsidRDefault="007A221F" w:rsidP="007A221F">
      <w:pPr>
        <w:ind w:left="567"/>
        <w:jc w:val="both"/>
      </w:pPr>
      <w:r>
        <w:t>The statutory deadline to inform schools of their funding for 2024-25 is the 28th February which has meant that we have had to notify Early Years providers of the hourly rates in advance of this forum meeting, and also finalise the schools block top-slice budgets.</w:t>
      </w:r>
    </w:p>
    <w:p w:rsidR="007A221F" w:rsidRDefault="007A221F" w:rsidP="007A221F">
      <w:pPr>
        <w:pStyle w:val="Heading2"/>
      </w:pPr>
      <w:r>
        <w:t>Early Years Funding Rates for 2024/25</w:t>
      </w:r>
    </w:p>
    <w:p w:rsidR="007A221F" w:rsidRDefault="007A221F" w:rsidP="007A221F">
      <w:pPr>
        <w:ind w:left="567"/>
        <w:jc w:val="both"/>
      </w:pPr>
      <w:r w:rsidRPr="007A221F">
        <w:t>Shortly before the January Forum, the DfE announced a change to the number of weeks being funded for expanded provision starting in September 2024. In the time available it wasn’t possible to finalise the impact of this additional money on funding rates.</w:t>
      </w:r>
    </w:p>
    <w:p w:rsidR="00841632" w:rsidRDefault="00841632" w:rsidP="007A221F">
      <w:pPr>
        <w:ind w:left="567"/>
        <w:jc w:val="both"/>
      </w:pPr>
      <w:r w:rsidRPr="00841632">
        <w:t>We have now been able to assess what funding rates are affordable within the new funding levels and these can be seen in the table below which shows the final rates for providers for 2024/25 along with the provisional rates presented in the January Forum and the rates from 2023/24.</w:t>
      </w:r>
    </w:p>
    <w:p w:rsidR="00841632" w:rsidRDefault="00841632" w:rsidP="007A221F">
      <w:pPr>
        <w:ind w:left="567"/>
        <w:jc w:val="both"/>
      </w:pPr>
      <w:r w:rsidRPr="00841632">
        <w:t>The tables below show the proposed hourly rates for under 2’s, 2, 3 and 4 year. Funding rates for all provider types are the same.</w:t>
      </w:r>
    </w:p>
    <w:p w:rsidR="00841632" w:rsidRDefault="00841632" w:rsidP="007A221F">
      <w:pPr>
        <w:ind w:left="567"/>
        <w:jc w:val="both"/>
        <w:rPr>
          <w:b/>
        </w:rPr>
      </w:pPr>
      <w:r w:rsidRPr="00841632">
        <w:rPr>
          <w:b/>
        </w:rPr>
        <w:t>Table 1: Early Years Single Funding Formula (EYSFF) - Base Rates</w:t>
      </w:r>
    </w:p>
    <w:tbl>
      <w:tblPr>
        <w:tblW w:w="7124" w:type="dxa"/>
        <w:tblInd w:w="1775" w:type="dxa"/>
        <w:tblLook w:val="0400" w:firstRow="0" w:lastRow="0" w:firstColumn="0" w:lastColumn="0" w:noHBand="0" w:noVBand="1"/>
      </w:tblPr>
      <w:tblGrid>
        <w:gridCol w:w="1897"/>
        <w:gridCol w:w="1919"/>
        <w:gridCol w:w="1654"/>
        <w:gridCol w:w="1654"/>
      </w:tblGrid>
      <w:tr w:rsidR="00841632" w:rsidRPr="00841632" w:rsidTr="00CF0FE3">
        <w:trPr>
          <w:trHeight w:val="327"/>
        </w:trPr>
        <w:tc>
          <w:tcPr>
            <w:tcW w:w="18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1632" w:rsidRPr="00841632" w:rsidRDefault="00841632" w:rsidP="00841632">
            <w:pPr>
              <w:spacing w:after="0" w:line="240" w:lineRule="auto"/>
              <w:jc w:val="both"/>
              <w:rPr>
                <w:rFonts w:eastAsia="Times New Roman" w:cs="Arial"/>
                <w:b/>
                <w:bCs/>
                <w:color w:val="000000"/>
                <w:kern w:val="0"/>
                <w:lang w:eastAsia="en-GB"/>
                <w14:ligatures w14:val="none"/>
              </w:rPr>
            </w:pPr>
            <w:r w:rsidRPr="00841632">
              <w:rPr>
                <w:rFonts w:eastAsia="Times New Roman" w:cs="Arial"/>
                <w:b/>
                <w:bCs/>
                <w:color w:val="000000"/>
                <w:kern w:val="0"/>
                <w14:ligatures w14:val="none"/>
              </w:rPr>
              <w:t>Base Rates</w:t>
            </w:r>
          </w:p>
        </w:tc>
        <w:tc>
          <w:tcPr>
            <w:tcW w:w="1919" w:type="dxa"/>
            <w:tcBorders>
              <w:top w:val="single" w:sz="4" w:space="0" w:color="auto"/>
              <w:left w:val="nil"/>
              <w:bottom w:val="single" w:sz="4" w:space="0" w:color="auto"/>
              <w:right w:val="single" w:sz="4" w:space="0" w:color="auto"/>
            </w:tcBorders>
            <w:shd w:val="clear" w:color="000000" w:fill="D9D9D9"/>
            <w:noWrap/>
            <w:vAlign w:val="center"/>
            <w:hideMark/>
          </w:tcPr>
          <w:p w:rsidR="00841632" w:rsidRPr="00841632" w:rsidRDefault="00841632" w:rsidP="00841632">
            <w:pPr>
              <w:spacing w:after="0" w:line="240" w:lineRule="auto"/>
              <w:jc w:val="center"/>
              <w:rPr>
                <w:rFonts w:eastAsia="Times New Roman" w:cs="Arial"/>
                <w:b/>
                <w:bCs/>
                <w:color w:val="000000"/>
                <w:kern w:val="0"/>
                <w14:ligatures w14:val="none"/>
              </w:rPr>
            </w:pPr>
            <w:r w:rsidRPr="00841632">
              <w:rPr>
                <w:rFonts w:eastAsia="Times New Roman" w:cs="Arial"/>
                <w:b/>
                <w:bCs/>
                <w:color w:val="000000"/>
                <w:kern w:val="0"/>
                <w14:ligatures w14:val="none"/>
              </w:rPr>
              <w:t>24/25 Final Rates</w:t>
            </w:r>
          </w:p>
        </w:tc>
        <w:tc>
          <w:tcPr>
            <w:tcW w:w="1654" w:type="dxa"/>
            <w:tcBorders>
              <w:top w:val="single" w:sz="4" w:space="0" w:color="auto"/>
              <w:left w:val="nil"/>
              <w:bottom w:val="single" w:sz="4" w:space="0" w:color="auto"/>
              <w:right w:val="nil"/>
            </w:tcBorders>
            <w:shd w:val="clear" w:color="000000" w:fill="D9D9D9"/>
          </w:tcPr>
          <w:p w:rsidR="00841632" w:rsidRPr="00841632" w:rsidRDefault="00841632" w:rsidP="00841632">
            <w:pPr>
              <w:spacing w:after="0" w:line="240" w:lineRule="auto"/>
              <w:jc w:val="center"/>
              <w:rPr>
                <w:rFonts w:eastAsia="Times New Roman" w:cs="Arial"/>
                <w:b/>
                <w:bCs/>
                <w:color w:val="000000"/>
                <w:kern w:val="0"/>
                <w14:ligatures w14:val="none"/>
              </w:rPr>
            </w:pPr>
            <w:r w:rsidRPr="00841632">
              <w:rPr>
                <w:rFonts w:eastAsia="Times New Roman" w:cs="Arial"/>
                <w:b/>
                <w:bCs/>
                <w:color w:val="000000"/>
                <w:kern w:val="0"/>
                <w14:ligatures w14:val="none"/>
              </w:rPr>
              <w:t>24/25 Provisional Rates</w:t>
            </w:r>
          </w:p>
        </w:tc>
        <w:tc>
          <w:tcPr>
            <w:tcW w:w="1654" w:type="dxa"/>
            <w:tcBorders>
              <w:top w:val="single" w:sz="4" w:space="0" w:color="auto"/>
              <w:left w:val="nil"/>
              <w:bottom w:val="single" w:sz="4" w:space="0" w:color="auto"/>
              <w:right w:val="single" w:sz="4" w:space="0" w:color="auto"/>
            </w:tcBorders>
            <w:shd w:val="clear" w:color="000000" w:fill="D9D9D9"/>
            <w:noWrap/>
            <w:vAlign w:val="center"/>
            <w:hideMark/>
          </w:tcPr>
          <w:p w:rsidR="00841632" w:rsidRPr="00841632" w:rsidRDefault="00841632" w:rsidP="00841632">
            <w:pPr>
              <w:spacing w:after="0" w:line="240" w:lineRule="auto"/>
              <w:jc w:val="both"/>
              <w:rPr>
                <w:rFonts w:eastAsia="Times New Roman" w:cs="Arial"/>
                <w:b/>
                <w:bCs/>
                <w:color w:val="000000"/>
                <w:kern w:val="0"/>
                <w14:ligatures w14:val="none"/>
              </w:rPr>
            </w:pPr>
            <w:r w:rsidRPr="00841632">
              <w:rPr>
                <w:rFonts w:eastAsia="Times New Roman" w:cs="Arial"/>
                <w:b/>
                <w:bCs/>
                <w:color w:val="000000"/>
                <w:kern w:val="0"/>
                <w14:ligatures w14:val="none"/>
              </w:rPr>
              <w:t>23/24 Rates</w:t>
            </w:r>
          </w:p>
        </w:tc>
      </w:tr>
      <w:tr w:rsidR="00841632" w:rsidRPr="00841632" w:rsidTr="00CF0FE3">
        <w:trPr>
          <w:trHeight w:val="314"/>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3 &amp; 4 yr olds</w:t>
            </w:r>
          </w:p>
        </w:tc>
        <w:tc>
          <w:tcPr>
            <w:tcW w:w="1919" w:type="dxa"/>
            <w:tcBorders>
              <w:top w:val="nil"/>
              <w:left w:val="nil"/>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6.21 </w:t>
            </w:r>
          </w:p>
        </w:tc>
        <w:tc>
          <w:tcPr>
            <w:tcW w:w="1654" w:type="dxa"/>
            <w:tcBorders>
              <w:top w:val="nil"/>
              <w:left w:val="nil"/>
              <w:bottom w:val="single" w:sz="4" w:space="0" w:color="auto"/>
              <w:right w:val="nil"/>
            </w:tcBorders>
            <w:vAlign w:val="bottom"/>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6.15 </w:t>
            </w:r>
          </w:p>
        </w:tc>
        <w:tc>
          <w:tcPr>
            <w:tcW w:w="1654" w:type="dxa"/>
            <w:tcBorders>
              <w:top w:val="nil"/>
              <w:left w:val="nil"/>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6.15 </w:t>
            </w:r>
          </w:p>
        </w:tc>
      </w:tr>
      <w:tr w:rsidR="00841632" w:rsidRPr="00841632" w:rsidTr="00CF0FE3">
        <w:trPr>
          <w:trHeight w:val="314"/>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2 yo (Deprived)</w:t>
            </w:r>
          </w:p>
        </w:tc>
        <w:tc>
          <w:tcPr>
            <w:tcW w:w="1919" w:type="dxa"/>
            <w:tcBorders>
              <w:top w:val="nil"/>
              <w:left w:val="nil"/>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9.02 </w:t>
            </w:r>
          </w:p>
        </w:tc>
        <w:tc>
          <w:tcPr>
            <w:tcW w:w="1654" w:type="dxa"/>
            <w:tcBorders>
              <w:top w:val="nil"/>
              <w:left w:val="nil"/>
              <w:bottom w:val="single" w:sz="4" w:space="0" w:color="auto"/>
              <w:right w:val="nil"/>
            </w:tcBorders>
            <w:vAlign w:val="bottom"/>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9.00 </w:t>
            </w:r>
          </w:p>
        </w:tc>
        <w:tc>
          <w:tcPr>
            <w:tcW w:w="1654" w:type="dxa"/>
            <w:tcBorders>
              <w:top w:val="nil"/>
              <w:left w:val="nil"/>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6.80 </w:t>
            </w:r>
          </w:p>
        </w:tc>
      </w:tr>
      <w:tr w:rsidR="00841632" w:rsidRPr="00841632" w:rsidTr="00CF0FE3">
        <w:trPr>
          <w:trHeight w:val="314"/>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2 yo (Working)</w:t>
            </w:r>
          </w:p>
        </w:tc>
        <w:tc>
          <w:tcPr>
            <w:tcW w:w="1919" w:type="dxa"/>
            <w:tcBorders>
              <w:top w:val="nil"/>
              <w:left w:val="nil"/>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9.02 </w:t>
            </w:r>
          </w:p>
        </w:tc>
        <w:tc>
          <w:tcPr>
            <w:tcW w:w="1654" w:type="dxa"/>
            <w:tcBorders>
              <w:top w:val="nil"/>
              <w:left w:val="nil"/>
              <w:bottom w:val="single" w:sz="4" w:space="0" w:color="auto"/>
              <w:right w:val="nil"/>
            </w:tcBorders>
            <w:vAlign w:val="bottom"/>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9.00 </w:t>
            </w:r>
          </w:p>
        </w:tc>
        <w:tc>
          <w:tcPr>
            <w:tcW w:w="1654" w:type="dxa"/>
            <w:tcBorders>
              <w:top w:val="nil"/>
              <w:left w:val="nil"/>
              <w:bottom w:val="single" w:sz="4" w:space="0" w:color="auto"/>
              <w:right w:val="single" w:sz="4" w:space="0" w:color="auto"/>
            </w:tcBorders>
            <w:shd w:val="clear" w:color="000000" w:fill="D9D9D9"/>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w:t>
            </w:r>
          </w:p>
        </w:tc>
      </w:tr>
      <w:tr w:rsidR="00841632" w:rsidRPr="00841632" w:rsidTr="00CF0FE3">
        <w:trPr>
          <w:trHeight w:val="314"/>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Under 2's</w:t>
            </w:r>
          </w:p>
        </w:tc>
        <w:tc>
          <w:tcPr>
            <w:tcW w:w="1919" w:type="dxa"/>
            <w:tcBorders>
              <w:top w:val="nil"/>
              <w:left w:val="nil"/>
              <w:bottom w:val="single" w:sz="4" w:space="0" w:color="auto"/>
              <w:right w:val="single" w:sz="4" w:space="0" w:color="auto"/>
            </w:tcBorders>
            <w:shd w:val="clear" w:color="auto" w:fill="auto"/>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12.38 </w:t>
            </w:r>
          </w:p>
        </w:tc>
        <w:tc>
          <w:tcPr>
            <w:tcW w:w="1654" w:type="dxa"/>
            <w:tcBorders>
              <w:top w:val="nil"/>
              <w:left w:val="nil"/>
              <w:bottom w:val="single" w:sz="4" w:space="0" w:color="auto"/>
              <w:right w:val="nil"/>
            </w:tcBorders>
            <w:vAlign w:val="bottom"/>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xml:space="preserve"> £          12.28 </w:t>
            </w:r>
          </w:p>
        </w:tc>
        <w:tc>
          <w:tcPr>
            <w:tcW w:w="1654" w:type="dxa"/>
            <w:tcBorders>
              <w:top w:val="nil"/>
              <w:left w:val="nil"/>
              <w:bottom w:val="single" w:sz="4" w:space="0" w:color="auto"/>
              <w:right w:val="single" w:sz="4" w:space="0" w:color="auto"/>
            </w:tcBorders>
            <w:shd w:val="clear" w:color="000000" w:fill="D9D9D9"/>
            <w:noWrap/>
            <w:vAlign w:val="bottom"/>
            <w:hideMark/>
          </w:tcPr>
          <w:p w:rsidR="00841632" w:rsidRPr="00841632" w:rsidRDefault="00841632" w:rsidP="00841632">
            <w:pPr>
              <w:spacing w:after="0" w:line="240" w:lineRule="auto"/>
              <w:jc w:val="both"/>
              <w:rPr>
                <w:rFonts w:eastAsia="Times New Roman" w:cs="Arial"/>
                <w:color w:val="000000"/>
                <w:kern w:val="0"/>
                <w14:ligatures w14:val="none"/>
              </w:rPr>
            </w:pPr>
            <w:r w:rsidRPr="00841632">
              <w:rPr>
                <w:rFonts w:eastAsia="Times New Roman" w:cs="Arial"/>
                <w:color w:val="000000"/>
                <w:kern w:val="0"/>
                <w14:ligatures w14:val="none"/>
              </w:rPr>
              <w:t> </w:t>
            </w:r>
          </w:p>
        </w:tc>
      </w:tr>
    </w:tbl>
    <w:p w:rsidR="00841632" w:rsidRDefault="00841632" w:rsidP="00841632">
      <w:pPr>
        <w:spacing w:after="0"/>
        <w:ind w:left="567"/>
        <w:jc w:val="both"/>
      </w:pPr>
    </w:p>
    <w:p w:rsidR="00841632" w:rsidRDefault="00841632" w:rsidP="007A221F">
      <w:pPr>
        <w:ind w:left="567"/>
        <w:jc w:val="both"/>
      </w:pPr>
      <w:r w:rsidRPr="00841632">
        <w:t>Children will attract this amount of funding to their setting for each hour recorded on the termly census.</w:t>
      </w:r>
    </w:p>
    <w:p w:rsidR="00841632" w:rsidRDefault="00841632" w:rsidP="007A221F">
      <w:pPr>
        <w:ind w:left="567"/>
        <w:jc w:val="both"/>
      </w:pPr>
      <w:r w:rsidRPr="00841632">
        <w:t>No other rates are affected by these changes.</w:t>
      </w:r>
    </w:p>
    <w:p w:rsidR="00841632" w:rsidRDefault="00841632" w:rsidP="00841632">
      <w:pPr>
        <w:pStyle w:val="Heading2"/>
      </w:pPr>
      <w:r>
        <w:t>Schools Block Funding Changes</w:t>
      </w:r>
    </w:p>
    <w:p w:rsidR="00841632" w:rsidRDefault="00841632" w:rsidP="00841632">
      <w:pPr>
        <w:ind w:left="567"/>
        <w:jc w:val="both"/>
      </w:pPr>
      <w:r w:rsidRPr="00841632">
        <w:t>Following the submission of the Authority Pro Forma Tool (APT) containing the budgets presented to the January forum, the DfE requested we make an adjustment to include NNDR / Business Rates “spend” for two recently closed schools. This adjustment would mean increasing NNDR spend by £40k, thereby requiring a reduction of £40k elsewhere within the Schools Block budgets.</w:t>
      </w:r>
    </w:p>
    <w:p w:rsidR="00841632" w:rsidRDefault="00841632" w:rsidP="00841632">
      <w:pPr>
        <w:ind w:left="567"/>
        <w:jc w:val="both"/>
      </w:pPr>
      <w:r w:rsidRPr="00841632">
        <w:t>Due to the size of the adjustment and wanting to avoid additional challenges to the schools’ budget planning process, the funding reduction was made to the top-sliced centrally retained Falling Rolls fund. We have also adjusted up slightly the figure for the Growth Fund so the budget would match the cost of one full eligible class. The budgets for 2024-25 will now be:</w:t>
      </w:r>
    </w:p>
    <w:p w:rsidR="00841632" w:rsidRDefault="00841632" w:rsidP="00E83828">
      <w:pPr>
        <w:spacing w:after="0"/>
        <w:ind w:left="1287" w:firstLine="153"/>
        <w:rPr>
          <w:rFonts w:cs="Arial"/>
        </w:rPr>
      </w:pPr>
      <w:r>
        <w:rPr>
          <w:rFonts w:cs="Arial"/>
        </w:rPr>
        <w:t xml:space="preserve">- </w:t>
      </w:r>
      <w:r w:rsidRPr="00824827">
        <w:rPr>
          <w:rFonts w:cs="Arial"/>
          <w:b/>
        </w:rPr>
        <w:t>Falling Rolls</w:t>
      </w:r>
      <w:r>
        <w:rPr>
          <w:rFonts w:cs="Arial"/>
        </w:rPr>
        <w:t xml:space="preserve"> </w:t>
      </w:r>
      <w:r>
        <w:rPr>
          <w:rFonts w:cs="Arial"/>
        </w:rPr>
        <w:tab/>
        <w:t>£255,000</w:t>
      </w:r>
    </w:p>
    <w:p w:rsidR="00841632" w:rsidRDefault="00841632" w:rsidP="00841632">
      <w:pPr>
        <w:ind w:left="567" w:hanging="567"/>
        <w:rPr>
          <w:rFonts w:cs="Arial"/>
        </w:rPr>
      </w:pPr>
      <w:r>
        <w:rPr>
          <w:rFonts w:cs="Arial"/>
        </w:rPr>
        <w:tab/>
      </w:r>
      <w:r>
        <w:rPr>
          <w:rFonts w:cs="Arial"/>
        </w:rPr>
        <w:tab/>
      </w:r>
      <w:r>
        <w:rPr>
          <w:rFonts w:cs="Arial"/>
        </w:rPr>
        <w:tab/>
        <w:t xml:space="preserve">- </w:t>
      </w:r>
      <w:r w:rsidRPr="00824827">
        <w:rPr>
          <w:rFonts w:cs="Arial"/>
          <w:b/>
        </w:rPr>
        <w:t>Growth Fund</w:t>
      </w:r>
      <w:r>
        <w:rPr>
          <w:rFonts w:cs="Arial"/>
        </w:rPr>
        <w:tab/>
        <w:t xml:space="preserve"> £55,179 </w:t>
      </w:r>
    </w:p>
    <w:p w:rsidR="00841632" w:rsidRPr="00841632" w:rsidRDefault="00841632" w:rsidP="00841632">
      <w:pPr>
        <w:ind w:left="567"/>
        <w:jc w:val="both"/>
      </w:pPr>
    </w:p>
    <w:p w:rsidR="00841632" w:rsidRPr="00841632" w:rsidRDefault="00841632" w:rsidP="007A221F">
      <w:pPr>
        <w:ind w:left="567"/>
        <w:jc w:val="both"/>
        <w:rPr>
          <w:b/>
        </w:rPr>
      </w:pPr>
    </w:p>
    <w:sectPr w:rsidR="00841632" w:rsidRPr="00841632" w:rsidSect="00D12070">
      <w:headerReference w:type="default" r:id="rId9"/>
      <w:footerReference w:type="default" r:id="rId10"/>
      <w:headerReference w:type="first" r:id="rId11"/>
      <w:footerReference w:type="first" r:id="rId12"/>
      <w:type w:val="continuous"/>
      <w:pgSz w:w="11901" w:h="16817"/>
      <w:pgMar w:top="680" w:right="680" w:bottom="1701" w:left="680"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04" w:rsidRDefault="00905604" w:rsidP="00E24FD3">
      <w:pPr>
        <w:spacing w:after="0"/>
      </w:pPr>
      <w:r>
        <w:separator/>
      </w:r>
    </w:p>
  </w:endnote>
  <w:endnote w:type="continuationSeparator" w:id="0">
    <w:p w:rsidR="00905604" w:rsidRDefault="00905604" w:rsidP="00E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6984899"/>
      <w:docPartObj>
        <w:docPartGallery w:val="Page Numbers (Bottom of Page)"/>
        <w:docPartUnique/>
      </w:docPartObj>
    </w:sdtPr>
    <w:sdtEndPr>
      <w:rPr>
        <w:rStyle w:val="DefaultParagraphFont"/>
      </w:rPr>
    </w:sdtEndPr>
    <w:sdtContent>
      <w:p w:rsidR="00E24FD3" w:rsidRDefault="00E24FD3" w:rsidP="002F4B82">
        <w:pPr>
          <w:pStyle w:val="Footer"/>
          <w:framePr w:wrap="none" w:vAnchor="text" w:hAnchor="page" w:x="10861" w:y="180"/>
          <w:rPr>
            <w:rStyle w:val="PageNumber"/>
          </w:rPr>
        </w:pPr>
        <w:r w:rsidRPr="00F32EAD">
          <w:rPr>
            <w:rStyle w:val="PageNumber"/>
            <w:color w:val="E7E6E6" w:themeColor="background2"/>
          </w:rPr>
          <w:fldChar w:fldCharType="begin"/>
        </w:r>
        <w:r w:rsidRPr="00F32EAD">
          <w:rPr>
            <w:rStyle w:val="PageNumber"/>
            <w:color w:val="E7E6E6" w:themeColor="background2"/>
          </w:rPr>
          <w:instrText xml:space="preserve"> PAGE </w:instrText>
        </w:r>
        <w:r w:rsidRPr="00F32EAD">
          <w:rPr>
            <w:rStyle w:val="PageNumber"/>
            <w:color w:val="E7E6E6" w:themeColor="background2"/>
          </w:rPr>
          <w:fldChar w:fldCharType="separate"/>
        </w:r>
        <w:r w:rsidR="00A54A81">
          <w:rPr>
            <w:rStyle w:val="PageNumber"/>
            <w:noProof/>
            <w:color w:val="E7E6E6" w:themeColor="background2"/>
          </w:rPr>
          <w:t>2</w:t>
        </w:r>
        <w:r w:rsidRPr="00F32EAD">
          <w:rPr>
            <w:rStyle w:val="PageNumber"/>
            <w:color w:val="E7E6E6" w:themeColor="background2"/>
          </w:rPr>
          <w:fldChar w:fldCharType="end"/>
        </w:r>
      </w:p>
    </w:sdtContent>
  </w:sdt>
  <w:p w:rsidR="00E24FD3" w:rsidRDefault="00E24FD3">
    <w:pPr>
      <w:pStyle w:val="Footer"/>
    </w:pPr>
    <w:r>
      <w:rPr>
        <w:noProof/>
        <w:lang w:eastAsia="en-GB"/>
      </w:rPr>
      <w:drawing>
        <wp:anchor distT="0" distB="0" distL="114300" distR="114300" simplePos="0" relativeHeight="251658240" behindDoc="1" locked="1" layoutInCell="1" allowOverlap="1" wp14:anchorId="25B51052" wp14:editId="6D2AB2CC">
          <wp:simplePos x="0" y="0"/>
          <wp:positionH relativeFrom="margin">
            <wp:posOffset>-450850</wp:posOffset>
          </wp:positionH>
          <wp:positionV relativeFrom="page">
            <wp:align>bottom</wp:align>
          </wp:positionV>
          <wp:extent cx="7559675" cy="1141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59675" cy="11410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2817517"/>
      <w:docPartObj>
        <w:docPartGallery w:val="Page Numbers (Bottom of Page)"/>
        <w:docPartUnique/>
      </w:docPartObj>
    </w:sdtPr>
    <w:sdtEndPr>
      <w:rPr>
        <w:rStyle w:val="DefaultParagraphFont"/>
      </w:rPr>
    </w:sdtEndPr>
    <w:sdtContent>
      <w:p w:rsidR="00E24FD3" w:rsidRDefault="00E24FD3" w:rsidP="002F4B82">
        <w:pPr>
          <w:pStyle w:val="Footer"/>
          <w:framePr w:wrap="none" w:vAnchor="text" w:hAnchor="page" w:x="10873" w:y="192"/>
          <w:rPr>
            <w:rStyle w:val="PageNumber"/>
          </w:rPr>
        </w:pPr>
        <w:r w:rsidRPr="00F32EAD">
          <w:rPr>
            <w:rStyle w:val="PageNumber"/>
            <w:color w:val="E7E6E6" w:themeColor="background2"/>
          </w:rPr>
          <w:fldChar w:fldCharType="begin"/>
        </w:r>
        <w:r w:rsidRPr="00F32EAD">
          <w:rPr>
            <w:rStyle w:val="PageNumber"/>
            <w:color w:val="E7E6E6" w:themeColor="background2"/>
          </w:rPr>
          <w:instrText xml:space="preserve"> PAGE </w:instrText>
        </w:r>
        <w:r w:rsidRPr="00F32EAD">
          <w:rPr>
            <w:rStyle w:val="PageNumber"/>
            <w:color w:val="E7E6E6" w:themeColor="background2"/>
          </w:rPr>
          <w:fldChar w:fldCharType="separate"/>
        </w:r>
        <w:r w:rsidR="00A54A81">
          <w:rPr>
            <w:rStyle w:val="PageNumber"/>
            <w:noProof/>
            <w:color w:val="E7E6E6" w:themeColor="background2"/>
          </w:rPr>
          <w:t>1</w:t>
        </w:r>
        <w:r w:rsidRPr="00F32EAD">
          <w:rPr>
            <w:rStyle w:val="PageNumber"/>
            <w:color w:val="E7E6E6" w:themeColor="background2"/>
          </w:rPr>
          <w:fldChar w:fldCharType="end"/>
        </w:r>
      </w:p>
    </w:sdtContent>
  </w:sdt>
  <w:p w:rsidR="00E24FD3" w:rsidRDefault="00E24FD3" w:rsidP="00E24FD3">
    <w:pPr>
      <w:pStyle w:val="Footer"/>
      <w:ind w:right="360"/>
      <w:jc w:val="center"/>
    </w:pPr>
    <w:r>
      <w:rPr>
        <w:noProof/>
        <w:lang w:eastAsia="en-GB"/>
      </w:rPr>
      <w:drawing>
        <wp:anchor distT="0" distB="0" distL="114300" distR="114300" simplePos="0" relativeHeight="251657216" behindDoc="1" locked="1" layoutInCell="1" allowOverlap="1" wp14:anchorId="0C0F12EB" wp14:editId="6A51A1C8">
          <wp:simplePos x="0" y="0"/>
          <wp:positionH relativeFrom="margin">
            <wp:align>center</wp:align>
          </wp:positionH>
          <wp:positionV relativeFrom="bottomMargin">
            <wp:posOffset>-27305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04" w:rsidRDefault="00905604" w:rsidP="00E24FD3">
      <w:pPr>
        <w:spacing w:after="0"/>
      </w:pPr>
      <w:r>
        <w:separator/>
      </w:r>
    </w:p>
  </w:footnote>
  <w:footnote w:type="continuationSeparator" w:id="0">
    <w:p w:rsidR="00905604" w:rsidRDefault="00905604" w:rsidP="00E24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D3" w:rsidRDefault="00E24FD3">
    <w:pPr>
      <w:pStyle w:val="Header"/>
    </w:pPr>
    <w:r>
      <w:rPr>
        <w:noProof/>
        <w:lang w:eastAsia="en-GB"/>
      </w:rPr>
      <w:drawing>
        <wp:anchor distT="0" distB="0" distL="114300" distR="114300" simplePos="0" relativeHeight="251656192" behindDoc="1" locked="0" layoutInCell="1" allowOverlap="1" wp14:anchorId="4BD8524E" wp14:editId="117C9059">
          <wp:simplePos x="0" y="0"/>
          <wp:positionH relativeFrom="page">
            <wp:align>left</wp:align>
          </wp:positionH>
          <wp:positionV relativeFrom="paragraph">
            <wp:posOffset>-431800</wp:posOffset>
          </wp:positionV>
          <wp:extent cx="7560000" cy="21311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E09"/>
    <w:multiLevelType w:val="hybridMultilevel"/>
    <w:tmpl w:val="724E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7B83"/>
    <w:multiLevelType w:val="hybridMultilevel"/>
    <w:tmpl w:val="55760418"/>
    <w:lvl w:ilvl="0" w:tplc="BB7AB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85454"/>
    <w:multiLevelType w:val="hybridMultilevel"/>
    <w:tmpl w:val="67E66DAE"/>
    <w:lvl w:ilvl="0" w:tplc="2586E956">
      <w:start w:val="1"/>
      <w:numFmt w:val="bullet"/>
      <w:pStyle w:val="Bulletstyl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F0722D1"/>
    <w:multiLevelType w:val="hybridMultilevel"/>
    <w:tmpl w:val="D7628B90"/>
    <w:lvl w:ilvl="0" w:tplc="BB7AB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0716"/>
    <w:multiLevelType w:val="hybridMultilevel"/>
    <w:tmpl w:val="1E34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8041C"/>
    <w:multiLevelType w:val="hybridMultilevel"/>
    <w:tmpl w:val="A5F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7269C"/>
    <w:multiLevelType w:val="hybridMultilevel"/>
    <w:tmpl w:val="0EBA34F8"/>
    <w:lvl w:ilvl="0" w:tplc="BB7AB9A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0494840"/>
    <w:multiLevelType w:val="hybridMultilevel"/>
    <w:tmpl w:val="E9B2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F5A1A"/>
    <w:multiLevelType w:val="hybridMultilevel"/>
    <w:tmpl w:val="D25C99A0"/>
    <w:lvl w:ilvl="0" w:tplc="BCF6A16C">
      <w:start w:val="1"/>
      <w:numFmt w:val="decimal"/>
      <w:lvlText w:val="%1."/>
      <w:lvlJc w:val="left"/>
      <w:pPr>
        <w:ind w:left="143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278A4"/>
    <w:multiLevelType w:val="hybridMultilevel"/>
    <w:tmpl w:val="F8569330"/>
    <w:lvl w:ilvl="0" w:tplc="9EE05ED8">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6C8086A"/>
    <w:multiLevelType w:val="hybridMultilevel"/>
    <w:tmpl w:val="015C8BE0"/>
    <w:lvl w:ilvl="0" w:tplc="BB7AB9A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7604174"/>
    <w:multiLevelType w:val="hybridMultilevel"/>
    <w:tmpl w:val="16984928"/>
    <w:lvl w:ilvl="0" w:tplc="F1086B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18051E"/>
    <w:multiLevelType w:val="hybridMultilevel"/>
    <w:tmpl w:val="43DA64A4"/>
    <w:lvl w:ilvl="0" w:tplc="BB7AB9A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BF503C3"/>
    <w:multiLevelType w:val="hybridMultilevel"/>
    <w:tmpl w:val="F5C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73C73"/>
    <w:multiLevelType w:val="hybridMultilevel"/>
    <w:tmpl w:val="6C64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E13D8"/>
    <w:multiLevelType w:val="hybridMultilevel"/>
    <w:tmpl w:val="6A548FBA"/>
    <w:lvl w:ilvl="0" w:tplc="1DCC62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7631E"/>
    <w:multiLevelType w:val="hybridMultilevel"/>
    <w:tmpl w:val="83B8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04B50"/>
    <w:multiLevelType w:val="hybridMultilevel"/>
    <w:tmpl w:val="1BFA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81F8A"/>
    <w:multiLevelType w:val="hybridMultilevel"/>
    <w:tmpl w:val="086C60A6"/>
    <w:lvl w:ilvl="0" w:tplc="BB7AB9A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91A639D"/>
    <w:multiLevelType w:val="hybridMultilevel"/>
    <w:tmpl w:val="A54CF7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48978CE"/>
    <w:multiLevelType w:val="hybridMultilevel"/>
    <w:tmpl w:val="355EBC4E"/>
    <w:lvl w:ilvl="0" w:tplc="6E24BF34">
      <w:start w:val="1"/>
      <w:numFmt w:val="decimal"/>
      <w:lvlText w:val="%1."/>
      <w:lvlJc w:val="left"/>
      <w:pPr>
        <w:ind w:left="2868"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21" w15:restartNumberingAfterBreak="0">
    <w:nsid w:val="46560FE4"/>
    <w:multiLevelType w:val="hybridMultilevel"/>
    <w:tmpl w:val="93F2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B6F9B"/>
    <w:multiLevelType w:val="hybridMultilevel"/>
    <w:tmpl w:val="B1F0DE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EB24188"/>
    <w:multiLevelType w:val="hybridMultilevel"/>
    <w:tmpl w:val="D1B6C37A"/>
    <w:lvl w:ilvl="0" w:tplc="BCF6A16C">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4" w15:restartNumberingAfterBreak="0">
    <w:nsid w:val="540F7D88"/>
    <w:multiLevelType w:val="hybridMultilevel"/>
    <w:tmpl w:val="671A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42352"/>
    <w:multiLevelType w:val="hybridMultilevel"/>
    <w:tmpl w:val="6F8815CC"/>
    <w:lvl w:ilvl="0" w:tplc="0809000F">
      <w:start w:val="1"/>
      <w:numFmt w:val="decimal"/>
      <w:lvlText w:val="%1."/>
      <w:lvlJc w:val="left"/>
      <w:pPr>
        <w:ind w:left="88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4B3D03"/>
    <w:multiLevelType w:val="hybridMultilevel"/>
    <w:tmpl w:val="6D5E31AA"/>
    <w:lvl w:ilvl="0" w:tplc="BB7AB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F2AE0"/>
    <w:multiLevelType w:val="hybridMultilevel"/>
    <w:tmpl w:val="C5A2750C"/>
    <w:lvl w:ilvl="0" w:tplc="AF749F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75519"/>
    <w:multiLevelType w:val="hybridMultilevel"/>
    <w:tmpl w:val="E1AC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03AD5"/>
    <w:multiLevelType w:val="hybridMultilevel"/>
    <w:tmpl w:val="6ED0A1E6"/>
    <w:lvl w:ilvl="0" w:tplc="BB7AB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E0C12"/>
    <w:multiLevelType w:val="hybridMultilevel"/>
    <w:tmpl w:val="241A456A"/>
    <w:lvl w:ilvl="0" w:tplc="7CECFA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8E7C95"/>
    <w:multiLevelType w:val="hybridMultilevel"/>
    <w:tmpl w:val="D368D9A4"/>
    <w:lvl w:ilvl="0" w:tplc="BB7AB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D75606"/>
    <w:multiLevelType w:val="hybridMultilevel"/>
    <w:tmpl w:val="08EA3DD2"/>
    <w:lvl w:ilvl="0" w:tplc="0784B78A">
      <w:start w:val="1"/>
      <w:numFmt w:val="decimal"/>
      <w:pStyle w:val="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A7C43B4"/>
    <w:multiLevelType w:val="hybridMultilevel"/>
    <w:tmpl w:val="E82A309C"/>
    <w:lvl w:ilvl="0" w:tplc="BB7AB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9"/>
  </w:num>
  <w:num w:numId="4">
    <w:abstractNumId w:val="13"/>
  </w:num>
  <w:num w:numId="5">
    <w:abstractNumId w:val="25"/>
  </w:num>
  <w:num w:numId="6">
    <w:abstractNumId w:val="30"/>
  </w:num>
  <w:num w:numId="7">
    <w:abstractNumId w:val="23"/>
  </w:num>
  <w:num w:numId="8">
    <w:abstractNumId w:val="8"/>
  </w:num>
  <w:num w:numId="9">
    <w:abstractNumId w:val="20"/>
  </w:num>
  <w:num w:numId="10">
    <w:abstractNumId w:val="7"/>
  </w:num>
  <w:num w:numId="11">
    <w:abstractNumId w:val="27"/>
  </w:num>
  <w:num w:numId="12">
    <w:abstractNumId w:val="28"/>
  </w:num>
  <w:num w:numId="13">
    <w:abstractNumId w:val="26"/>
  </w:num>
  <w:num w:numId="14">
    <w:abstractNumId w:val="33"/>
  </w:num>
  <w:num w:numId="15">
    <w:abstractNumId w:val="24"/>
  </w:num>
  <w:num w:numId="16">
    <w:abstractNumId w:val="3"/>
  </w:num>
  <w:num w:numId="17">
    <w:abstractNumId w:val="16"/>
  </w:num>
  <w:num w:numId="18">
    <w:abstractNumId w:val="21"/>
  </w:num>
  <w:num w:numId="19">
    <w:abstractNumId w:val="29"/>
  </w:num>
  <w:num w:numId="20">
    <w:abstractNumId w:val="0"/>
  </w:num>
  <w:num w:numId="21">
    <w:abstractNumId w:val="31"/>
  </w:num>
  <w:num w:numId="22">
    <w:abstractNumId w:val="10"/>
  </w:num>
  <w:num w:numId="23">
    <w:abstractNumId w:val="1"/>
  </w:num>
  <w:num w:numId="24">
    <w:abstractNumId w:val="6"/>
  </w:num>
  <w:num w:numId="25">
    <w:abstractNumId w:val="14"/>
  </w:num>
  <w:num w:numId="26">
    <w:abstractNumId w:val="22"/>
  </w:num>
  <w:num w:numId="27">
    <w:abstractNumId w:val="18"/>
  </w:num>
  <w:num w:numId="28">
    <w:abstractNumId w:val="4"/>
  </w:num>
  <w:num w:numId="29">
    <w:abstractNumId w:val="12"/>
  </w:num>
  <w:num w:numId="30">
    <w:abstractNumId w:val="5"/>
  </w:num>
  <w:num w:numId="31">
    <w:abstractNumId w:val="15"/>
  </w:num>
  <w:num w:numId="32">
    <w:abstractNumId w:val="11"/>
  </w:num>
  <w:num w:numId="33">
    <w:abstractNumId w:val="3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savePreviewPicture/>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V6/hu9afqlT2F94uwN0XG6tsWg/7cSDkcjoLAbVCALG3atSYi+aKcIGE2Dtruyqz"/>
  </w:docVars>
  <w:rsids>
    <w:rsidRoot w:val="00E24FD3"/>
    <w:rsid w:val="000070B1"/>
    <w:rsid w:val="00022C52"/>
    <w:rsid w:val="00025AF8"/>
    <w:rsid w:val="00035F95"/>
    <w:rsid w:val="000F48C7"/>
    <w:rsid w:val="001422D9"/>
    <w:rsid w:val="00167704"/>
    <w:rsid w:val="001C1D89"/>
    <w:rsid w:val="002109C1"/>
    <w:rsid w:val="002146FC"/>
    <w:rsid w:val="00217916"/>
    <w:rsid w:val="002201AA"/>
    <w:rsid w:val="00252E73"/>
    <w:rsid w:val="00266DB7"/>
    <w:rsid w:val="00267EEF"/>
    <w:rsid w:val="00285421"/>
    <w:rsid w:val="0029581B"/>
    <w:rsid w:val="002C075B"/>
    <w:rsid w:val="002C18A1"/>
    <w:rsid w:val="002F4B82"/>
    <w:rsid w:val="00300B46"/>
    <w:rsid w:val="00322422"/>
    <w:rsid w:val="00337ABD"/>
    <w:rsid w:val="00340471"/>
    <w:rsid w:val="003B2A41"/>
    <w:rsid w:val="00426BED"/>
    <w:rsid w:val="004329ED"/>
    <w:rsid w:val="00435AC4"/>
    <w:rsid w:val="0043667A"/>
    <w:rsid w:val="00471B6A"/>
    <w:rsid w:val="0049685E"/>
    <w:rsid w:val="0049688B"/>
    <w:rsid w:val="004D722D"/>
    <w:rsid w:val="004E2EB4"/>
    <w:rsid w:val="004E5FFC"/>
    <w:rsid w:val="00530BA4"/>
    <w:rsid w:val="00557C04"/>
    <w:rsid w:val="005774C6"/>
    <w:rsid w:val="005B0BC0"/>
    <w:rsid w:val="005C70C9"/>
    <w:rsid w:val="006A687D"/>
    <w:rsid w:val="006C6F53"/>
    <w:rsid w:val="007103F4"/>
    <w:rsid w:val="00740DF2"/>
    <w:rsid w:val="0076625E"/>
    <w:rsid w:val="007A221F"/>
    <w:rsid w:val="007A674D"/>
    <w:rsid w:val="008054E1"/>
    <w:rsid w:val="00834E4F"/>
    <w:rsid w:val="00841632"/>
    <w:rsid w:val="008425C1"/>
    <w:rsid w:val="008614E8"/>
    <w:rsid w:val="00870B08"/>
    <w:rsid w:val="0088398B"/>
    <w:rsid w:val="008A6547"/>
    <w:rsid w:val="008B5508"/>
    <w:rsid w:val="008B575C"/>
    <w:rsid w:val="008C24E3"/>
    <w:rsid w:val="009035C6"/>
    <w:rsid w:val="00905604"/>
    <w:rsid w:val="00926DC5"/>
    <w:rsid w:val="00943D33"/>
    <w:rsid w:val="009842D8"/>
    <w:rsid w:val="009F12B0"/>
    <w:rsid w:val="00A54A81"/>
    <w:rsid w:val="00AB554E"/>
    <w:rsid w:val="00B70926"/>
    <w:rsid w:val="00B85681"/>
    <w:rsid w:val="00C172BE"/>
    <w:rsid w:val="00C17374"/>
    <w:rsid w:val="00C34EB0"/>
    <w:rsid w:val="00C4526A"/>
    <w:rsid w:val="00C76F7F"/>
    <w:rsid w:val="00C94776"/>
    <w:rsid w:val="00C94F5A"/>
    <w:rsid w:val="00CB3FDB"/>
    <w:rsid w:val="00CE1713"/>
    <w:rsid w:val="00D12070"/>
    <w:rsid w:val="00D168E9"/>
    <w:rsid w:val="00D66C71"/>
    <w:rsid w:val="00D81720"/>
    <w:rsid w:val="00D957E3"/>
    <w:rsid w:val="00DE40AA"/>
    <w:rsid w:val="00E0387E"/>
    <w:rsid w:val="00E10B7B"/>
    <w:rsid w:val="00E24FD3"/>
    <w:rsid w:val="00E51BDD"/>
    <w:rsid w:val="00E83828"/>
    <w:rsid w:val="00F32EAD"/>
    <w:rsid w:val="00F354CE"/>
    <w:rsid w:val="00F72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chartTrackingRefBased/>
  <w15:docId w15:val="{B5E080A0-76CB-F14B-BC12-7842E6F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8054E1"/>
    <w:pPr>
      <w:spacing w:before="0"/>
    </w:pPr>
    <w:rPr>
      <w:rFonts w:ascii="Arial" w:hAnsi="Arial"/>
    </w:rPr>
  </w:style>
  <w:style w:type="paragraph" w:styleId="Heading1">
    <w:name w:val="heading 1"/>
    <w:basedOn w:val="Normal"/>
    <w:next w:val="Normal"/>
    <w:link w:val="Heading1Char"/>
    <w:uiPriority w:val="1"/>
    <w:qFormat/>
    <w:rsid w:val="008B575C"/>
    <w:pPr>
      <w:keepNext/>
      <w:keepLines/>
      <w:outlineLvl w:val="0"/>
    </w:pPr>
    <w:rPr>
      <w:rFonts w:asciiTheme="majorHAnsi" w:eastAsiaTheme="majorEastAsia" w:hAnsiTheme="majorHAnsi" w:cstheme="majorBidi"/>
      <w:color w:val="44276E"/>
      <w:sz w:val="72"/>
      <w:szCs w:val="32"/>
    </w:rPr>
  </w:style>
  <w:style w:type="paragraph" w:styleId="Heading2">
    <w:name w:val="heading 2"/>
    <w:basedOn w:val="Normal"/>
    <w:next w:val="Normal"/>
    <w:link w:val="Heading2Char1"/>
    <w:autoRedefine/>
    <w:uiPriority w:val="1"/>
    <w:unhideWhenUsed/>
    <w:qFormat/>
    <w:rsid w:val="006C6F53"/>
    <w:pPr>
      <w:numPr>
        <w:numId w:val="33"/>
      </w:numPr>
      <w:spacing w:before="240"/>
      <w:ind w:left="567" w:hanging="567"/>
      <w:outlineLvl w:val="1"/>
    </w:pPr>
    <w:rPr>
      <w:rFonts w:eastAsiaTheme="majorEastAsia" w:cs="Arial"/>
      <w:sz w:val="48"/>
      <w:szCs w:val="26"/>
    </w:rPr>
  </w:style>
  <w:style w:type="paragraph" w:styleId="Heading3">
    <w:name w:val="heading 3"/>
    <w:basedOn w:val="Normal"/>
    <w:next w:val="Normal"/>
    <w:link w:val="Heading3Char"/>
    <w:autoRedefine/>
    <w:uiPriority w:val="1"/>
    <w:unhideWhenUsed/>
    <w:qFormat/>
    <w:rsid w:val="00870B08"/>
    <w:pPr>
      <w:keepNext/>
      <w:keepLines/>
      <w:outlineLvl w:val="2"/>
    </w:pPr>
    <w:rPr>
      <w:rFonts w:eastAsiaTheme="majorEastAsia" w:cstheme="majorBidi"/>
      <w:b/>
      <w:sz w:val="48"/>
    </w:rPr>
  </w:style>
  <w:style w:type="paragraph" w:styleId="Heading4">
    <w:name w:val="heading 4"/>
    <w:basedOn w:val="BasicParagraph"/>
    <w:next w:val="Normal"/>
    <w:link w:val="Heading4Char"/>
    <w:uiPriority w:val="9"/>
    <w:unhideWhenUsed/>
    <w:qFormat/>
    <w:rsid w:val="002146FC"/>
    <w:pPr>
      <w:suppressAutoHyphens/>
      <w:outlineLvl w:val="3"/>
    </w:pPr>
    <w:rPr>
      <w:rFonts w:ascii="Arial" w:hAnsi="Arial" w:cs="Arial"/>
      <w:b/>
      <w:bCs/>
      <w:szCs w:val="20"/>
    </w:rPr>
  </w:style>
  <w:style w:type="paragraph" w:styleId="Heading5">
    <w:name w:val="heading 5"/>
    <w:basedOn w:val="Normal"/>
    <w:next w:val="Normal"/>
    <w:link w:val="Heading5Char"/>
    <w:uiPriority w:val="9"/>
    <w:unhideWhenUsed/>
    <w:qFormat/>
    <w:rsid w:val="007662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75C"/>
    <w:rPr>
      <w:rFonts w:asciiTheme="majorHAnsi" w:eastAsiaTheme="majorEastAsia" w:hAnsiTheme="majorHAnsi" w:cstheme="majorBidi"/>
      <w:color w:val="44276E"/>
      <w:sz w:val="72"/>
      <w:szCs w:val="32"/>
    </w:rPr>
  </w:style>
  <w:style w:type="character" w:customStyle="1" w:styleId="Heading2Char">
    <w:name w:val="Heading 2 Char"/>
    <w:basedOn w:val="DefaultParagraphFont"/>
    <w:uiPriority w:val="1"/>
    <w:rsid w:val="006A687D"/>
    <w:rPr>
      <w:rFonts w:ascii="Arial" w:eastAsiaTheme="majorEastAsia" w:hAnsi="Arial" w:cs="Arial"/>
      <w:color w:val="44546A" w:themeColor="text2"/>
      <w:sz w:val="48"/>
      <w:szCs w:val="26"/>
    </w:rPr>
  </w:style>
  <w:style w:type="character" w:customStyle="1" w:styleId="Heading3Char">
    <w:name w:val="Heading 3 Char"/>
    <w:basedOn w:val="DefaultParagraphFont"/>
    <w:link w:val="Heading3"/>
    <w:uiPriority w:val="1"/>
    <w:rsid w:val="00870B08"/>
    <w:rPr>
      <w:rFonts w:ascii="Arial" w:eastAsiaTheme="majorEastAsia" w:hAnsi="Arial" w:cstheme="majorBidi"/>
      <w:b/>
      <w:sz w:val="48"/>
    </w:rPr>
  </w:style>
  <w:style w:type="paragraph" w:styleId="Header">
    <w:name w:val="header"/>
    <w:basedOn w:val="Normal"/>
    <w:link w:val="HeaderChar"/>
    <w:uiPriority w:val="99"/>
    <w:unhideWhenUsed/>
    <w:rsid w:val="00E24FD3"/>
    <w:pPr>
      <w:tabs>
        <w:tab w:val="center" w:pos="4513"/>
        <w:tab w:val="right" w:pos="9026"/>
      </w:tabs>
    </w:pPr>
  </w:style>
  <w:style w:type="character" w:customStyle="1" w:styleId="HeaderChar">
    <w:name w:val="Header Char"/>
    <w:basedOn w:val="DefaultParagraphFont"/>
    <w:link w:val="Header"/>
    <w:uiPriority w:val="99"/>
    <w:rsid w:val="00E24FD3"/>
  </w:style>
  <w:style w:type="paragraph" w:styleId="Footer">
    <w:name w:val="footer"/>
    <w:basedOn w:val="Normal"/>
    <w:link w:val="FooterChar"/>
    <w:uiPriority w:val="99"/>
    <w:unhideWhenUsed/>
    <w:rsid w:val="00E24FD3"/>
    <w:pPr>
      <w:tabs>
        <w:tab w:val="center" w:pos="4513"/>
        <w:tab w:val="right" w:pos="9026"/>
      </w:tabs>
    </w:pPr>
    <w:rPr>
      <w:color w:val="FFFFFF" w:themeColor="background1"/>
      <w:sz w:val="18"/>
    </w:rPr>
  </w:style>
  <w:style w:type="character" w:customStyle="1" w:styleId="FooterChar">
    <w:name w:val="Footer Char"/>
    <w:basedOn w:val="DefaultParagraphFont"/>
    <w:link w:val="Footer"/>
    <w:uiPriority w:val="99"/>
    <w:rsid w:val="00E24FD3"/>
    <w:rPr>
      <w:color w:val="FFFFFF" w:themeColor="background1"/>
      <w:sz w:val="18"/>
    </w:rPr>
  </w:style>
  <w:style w:type="character" w:styleId="PageNumber">
    <w:name w:val="page number"/>
    <w:basedOn w:val="DefaultParagraphFont"/>
    <w:uiPriority w:val="99"/>
    <w:semiHidden/>
    <w:unhideWhenUsed/>
    <w:rsid w:val="00E24FD3"/>
  </w:style>
  <w:style w:type="paragraph" w:customStyle="1" w:styleId="BasicParagraph">
    <w:name w:val="[Basic Paragraph]"/>
    <w:basedOn w:val="Normal"/>
    <w:link w:val="BasicParagraphChar"/>
    <w:uiPriority w:val="99"/>
    <w:rsid w:val="00C172BE"/>
    <w:pPr>
      <w:autoSpaceDE w:val="0"/>
      <w:autoSpaceDN w:val="0"/>
      <w:adjustRightInd w:val="0"/>
      <w:textAlignment w:val="center"/>
    </w:pPr>
    <w:rPr>
      <w:rFonts w:ascii="Minion Pro" w:hAnsi="Minion Pro" w:cs="Minion Pro"/>
      <w:color w:val="000000"/>
      <w:kern w:val="0"/>
    </w:rPr>
  </w:style>
  <w:style w:type="character" w:styleId="Hyperlink">
    <w:name w:val="Hyperlink"/>
    <w:basedOn w:val="DefaultParagraphFont"/>
    <w:uiPriority w:val="99"/>
    <w:qFormat/>
    <w:rsid w:val="0076625E"/>
    <w:rPr>
      <w:rFonts w:asciiTheme="minorHAnsi" w:hAnsiTheme="minorHAnsi"/>
      <w:color w:val="002060"/>
      <w:u w:val="single"/>
    </w:rPr>
  </w:style>
  <w:style w:type="paragraph" w:styleId="ListParagraph">
    <w:name w:val="List Paragraph"/>
    <w:basedOn w:val="Normal"/>
    <w:uiPriority w:val="34"/>
    <w:qFormat/>
    <w:rsid w:val="00C172BE"/>
    <w:pPr>
      <w:spacing w:line="300" w:lineRule="atLeast"/>
      <w:contextualSpacing/>
    </w:pPr>
  </w:style>
  <w:style w:type="character" w:customStyle="1" w:styleId="UnresolvedMention">
    <w:name w:val="Unresolved Mention"/>
    <w:basedOn w:val="DefaultParagraphFont"/>
    <w:uiPriority w:val="99"/>
    <w:semiHidden/>
    <w:unhideWhenUsed/>
    <w:rsid w:val="00C172BE"/>
    <w:rPr>
      <w:color w:val="605E5C"/>
      <w:shd w:val="clear" w:color="auto" w:fill="E1DFDD"/>
    </w:rPr>
  </w:style>
  <w:style w:type="paragraph" w:customStyle="1" w:styleId="Bulletstyle">
    <w:name w:val="Bullet style"/>
    <w:basedOn w:val="BasicParagraph"/>
    <w:link w:val="BulletstyleChar"/>
    <w:uiPriority w:val="4"/>
    <w:qFormat/>
    <w:rsid w:val="00300B46"/>
    <w:pPr>
      <w:numPr>
        <w:numId w:val="2"/>
      </w:numPr>
      <w:suppressAutoHyphens/>
      <w:spacing w:before="240" w:line="240" w:lineRule="auto"/>
      <w:ind w:hanging="357"/>
    </w:pPr>
    <w:rPr>
      <w:rFonts w:ascii="Arial" w:hAnsi="Arial" w:cs="Arial"/>
    </w:rPr>
  </w:style>
  <w:style w:type="paragraph" w:styleId="NoSpacing">
    <w:name w:val="No Spacing"/>
    <w:uiPriority w:val="4"/>
    <w:unhideWhenUsed/>
    <w:rsid w:val="001C1D89"/>
    <w:pPr>
      <w:spacing w:before="0" w:after="0" w:line="240" w:lineRule="auto"/>
    </w:pPr>
  </w:style>
  <w:style w:type="character" w:customStyle="1" w:styleId="BasicParagraphChar">
    <w:name w:val="[Basic Paragraph] Char"/>
    <w:basedOn w:val="DefaultParagraphFont"/>
    <w:link w:val="BasicParagraph"/>
    <w:uiPriority w:val="99"/>
    <w:rsid w:val="00DE40AA"/>
    <w:rPr>
      <w:rFonts w:ascii="Minion Pro" w:hAnsi="Minion Pro" w:cs="Minion Pro"/>
      <w:color w:val="000000"/>
      <w:kern w:val="0"/>
    </w:rPr>
  </w:style>
  <w:style w:type="character" w:customStyle="1" w:styleId="BulletstyleChar">
    <w:name w:val="Bullet style Char"/>
    <w:basedOn w:val="BasicParagraphChar"/>
    <w:link w:val="Bulletstyle"/>
    <w:uiPriority w:val="4"/>
    <w:rsid w:val="00300B46"/>
    <w:rPr>
      <w:rFonts w:ascii="Arial" w:hAnsi="Arial" w:cs="Arial"/>
      <w:color w:val="000000"/>
      <w:kern w:val="0"/>
    </w:rPr>
  </w:style>
  <w:style w:type="paragraph" w:styleId="BalloonText">
    <w:name w:val="Balloon Text"/>
    <w:basedOn w:val="Normal"/>
    <w:link w:val="BalloonTextChar"/>
    <w:uiPriority w:val="99"/>
    <w:semiHidden/>
    <w:unhideWhenUsed/>
    <w:rsid w:val="00E03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7E"/>
    <w:rPr>
      <w:rFonts w:ascii="Segoe UI" w:hAnsi="Segoe UI" w:cs="Segoe UI"/>
      <w:sz w:val="18"/>
      <w:szCs w:val="18"/>
    </w:rPr>
  </w:style>
  <w:style w:type="character" w:customStyle="1" w:styleId="Heading4Char">
    <w:name w:val="Heading 4 Char"/>
    <w:basedOn w:val="DefaultParagraphFont"/>
    <w:link w:val="Heading4"/>
    <w:uiPriority w:val="9"/>
    <w:rsid w:val="002146FC"/>
    <w:rPr>
      <w:rFonts w:ascii="Arial" w:hAnsi="Arial" w:cs="Arial"/>
      <w:b/>
      <w:bCs/>
      <w:color w:val="000000"/>
      <w:kern w:val="0"/>
      <w:szCs w:val="20"/>
    </w:rPr>
  </w:style>
  <w:style w:type="character" w:customStyle="1" w:styleId="Heading2Char1">
    <w:name w:val="Heading 2 Char1"/>
    <w:basedOn w:val="DefaultParagraphFont"/>
    <w:link w:val="Heading2"/>
    <w:uiPriority w:val="1"/>
    <w:rsid w:val="006C6F53"/>
    <w:rPr>
      <w:rFonts w:ascii="Arial" w:eastAsiaTheme="majorEastAsia" w:hAnsi="Arial" w:cs="Arial"/>
      <w:sz w:val="48"/>
      <w:szCs w:val="26"/>
    </w:rPr>
  </w:style>
  <w:style w:type="paragraph" w:styleId="TOCHeading">
    <w:name w:val="TOC Heading"/>
    <w:basedOn w:val="Heading1"/>
    <w:next w:val="Normal"/>
    <w:uiPriority w:val="39"/>
    <w:unhideWhenUsed/>
    <w:qFormat/>
    <w:rsid w:val="0029581B"/>
    <w:pPr>
      <w:spacing w:after="0" w:line="259" w:lineRule="auto"/>
      <w:outlineLvl w:val="9"/>
    </w:pPr>
    <w:rPr>
      <w:color w:val="2E74B5" w:themeColor="accent1" w:themeShade="BF"/>
      <w:kern w:val="0"/>
      <w:sz w:val="32"/>
      <w:lang w:val="en-US"/>
      <w14:ligatures w14:val="none"/>
    </w:rPr>
  </w:style>
  <w:style w:type="paragraph" w:styleId="TOC1">
    <w:name w:val="toc 1"/>
    <w:basedOn w:val="Normal"/>
    <w:next w:val="Normal"/>
    <w:autoRedefine/>
    <w:uiPriority w:val="39"/>
    <w:unhideWhenUsed/>
    <w:rsid w:val="0029581B"/>
    <w:pPr>
      <w:spacing w:after="100"/>
    </w:pPr>
  </w:style>
  <w:style w:type="paragraph" w:styleId="TOC2">
    <w:name w:val="toc 2"/>
    <w:basedOn w:val="Normal"/>
    <w:next w:val="Normal"/>
    <w:autoRedefine/>
    <w:uiPriority w:val="39"/>
    <w:unhideWhenUsed/>
    <w:rsid w:val="0029581B"/>
    <w:pPr>
      <w:spacing w:after="100"/>
      <w:ind w:left="240"/>
    </w:pPr>
  </w:style>
  <w:style w:type="paragraph" w:styleId="TOC3">
    <w:name w:val="toc 3"/>
    <w:basedOn w:val="Normal"/>
    <w:next w:val="Normal"/>
    <w:autoRedefine/>
    <w:uiPriority w:val="39"/>
    <w:unhideWhenUsed/>
    <w:rsid w:val="0029581B"/>
    <w:pPr>
      <w:spacing w:after="100"/>
      <w:ind w:left="480"/>
    </w:pPr>
  </w:style>
  <w:style w:type="character" w:customStyle="1" w:styleId="Heading5Char">
    <w:name w:val="Heading 5 Char"/>
    <w:basedOn w:val="DefaultParagraphFont"/>
    <w:link w:val="Heading5"/>
    <w:uiPriority w:val="9"/>
    <w:rsid w:val="0076625E"/>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4D722D"/>
    <w:pPr>
      <w:spacing w:before="0"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n.brown@southwark.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122F-54F6-4C85-B56B-D7A02F7B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3435</Characters>
  <Application>Microsoft Office Word</Application>
  <DocSecurity>0</DocSecurity>
  <Lines>78</Lines>
  <Paragraphs>42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Southwark Council factsheet</vt:lpstr>
      <vt:lpstr>DSG 2024-25 – Funding Updates</vt:lpstr>
      <vt:lpstr>    Purpose of Report</vt:lpstr>
      <vt:lpstr>    Recommended Actions for School Forum</vt:lpstr>
      <vt:lpstr>    Background</vt:lpstr>
      <vt:lpstr>    Early Years Funding Rates for 2024/25</vt:lpstr>
      <vt:lpstr>    Schools Block Funding Changes</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factsheet</dc:title>
  <dc:subject/>
  <dc:creator>Gray, Karen</dc:creator>
  <cp:keywords/>
  <dc:description/>
  <cp:lastModifiedBy>Gray, Karen</cp:lastModifiedBy>
  <cp:revision>3</cp:revision>
  <cp:lastPrinted>2024-01-02T12:22:00Z</cp:lastPrinted>
  <dcterms:created xsi:type="dcterms:W3CDTF">2024-03-14T10:52:00Z</dcterms:created>
  <dcterms:modified xsi:type="dcterms:W3CDTF">2024-03-15T12:52:00Z</dcterms:modified>
</cp:coreProperties>
</file>